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50E" w:rsidRDefault="00F5250E" w:rsidP="00F5250E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22</w:t>
      </w:r>
    </w:p>
    <w:p w:rsidR="00F5250E" w:rsidRDefault="00F5250E" w:rsidP="00F5250E">
      <w:pPr>
        <w:jc w:val="right"/>
        <w:rPr>
          <w:b/>
          <w:szCs w:val="32"/>
        </w:rPr>
      </w:pPr>
    </w:p>
    <w:p w:rsidR="00F5250E" w:rsidRDefault="00F5250E" w:rsidP="00F5250E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F5250E" w:rsidRDefault="00F5250E" w:rsidP="00F5250E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r w:rsidRPr="00F5250E">
        <w:rPr>
          <w:b/>
          <w:sz w:val="30"/>
          <w:szCs w:val="30"/>
          <w:u w:val="single"/>
        </w:rPr>
        <w:t xml:space="preserve">Парфёновичи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F5250E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250E" w:rsidRDefault="00F5250E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F5250E" w:rsidRDefault="00F5250E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F5250E" w:rsidTr="002205E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F5250E" w:rsidTr="002205E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8E467F">
              <w:rPr>
                <w:b/>
                <w:sz w:val="28"/>
                <w:szCs w:val="28"/>
                <w:lang w:eastAsia="en-US"/>
              </w:rPr>
              <w:t>д</w:t>
            </w:r>
            <w:r>
              <w:rPr>
                <w:sz w:val="28"/>
                <w:szCs w:val="28"/>
                <w:lang w:eastAsia="en-US"/>
              </w:rPr>
              <w:t>. </w:t>
            </w:r>
            <w:r w:rsidRPr="00F5250E">
              <w:rPr>
                <w:b/>
                <w:sz w:val="30"/>
                <w:szCs w:val="30"/>
                <w:u w:val="single"/>
                <w:lang w:eastAsia="en-US"/>
              </w:rPr>
              <w:t>Парфёновичи</w:t>
            </w:r>
          </w:p>
        </w:tc>
      </w:tr>
      <w:tr w:rsidR="00F5250E" w:rsidTr="002205E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</w:t>
            </w:r>
          </w:p>
        </w:tc>
      </w:tr>
      <w:tr w:rsidR="00F5250E" w:rsidTr="002205E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8E467F" w:rsidRDefault="008E467F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8E467F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F5250E" w:rsidTr="002205E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Pr="008E467F" w:rsidRDefault="00F5250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8E467F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F5250E" w:rsidTr="002205E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8E467F" w:rsidRDefault="008E467F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8E467F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F5250E" w:rsidRDefault="00F5250E" w:rsidP="00F5250E">
      <w:pPr>
        <w:rPr>
          <w:b/>
          <w:caps/>
          <w:sz w:val="30"/>
          <w:szCs w:val="30"/>
        </w:rPr>
      </w:pPr>
    </w:p>
    <w:p w:rsidR="00F5250E" w:rsidRDefault="00F5250E" w:rsidP="00F5250E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513"/>
        <w:gridCol w:w="283"/>
        <w:gridCol w:w="4294"/>
      </w:tblGrid>
      <w:tr w:rsidR="00F5250E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F5250E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442023" w:rsidRDefault="00F5250E" w:rsidP="002205ED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442023">
              <w:rPr>
                <w:b/>
                <w:sz w:val="24"/>
                <w:szCs w:val="24"/>
                <w:u w:val="single"/>
                <w:lang w:eastAsia="en-US"/>
              </w:rPr>
              <w:t xml:space="preserve"> - грунтовые воды</w:t>
            </w:r>
          </w:p>
        </w:tc>
      </w:tr>
      <w:tr w:rsidR="00F5250E" w:rsidTr="002205E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человек,</w:t>
            </w:r>
          </w:p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…0. детей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F5250E" w:rsidRDefault="008E467F" w:rsidP="00F5250E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нет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9F456C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 w:rsidRPr="009F456C">
              <w:rPr>
                <w:sz w:val="24"/>
                <w:szCs w:val="24"/>
                <w:lang w:eastAsia="en-US"/>
              </w:rPr>
              <w:t>да</w:t>
            </w:r>
          </w:p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    нет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9F456C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F456C">
              <w:rPr>
                <w:sz w:val="24"/>
                <w:szCs w:val="24"/>
                <w:lang w:eastAsia="en-US"/>
              </w:rPr>
              <w:t>□    есть</w:t>
            </w:r>
          </w:p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    нет (не требуется)</w:t>
            </w:r>
          </w:p>
        </w:tc>
      </w:tr>
      <w:tr w:rsidR="00F5250E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1C5EA1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F5250E" w:rsidRPr="004526E4" w:rsidRDefault="00F5250E" w:rsidP="002205E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ограничительный режим на территории ЗСО: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всегда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источнике: 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8E467F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Лабораторные данные имеются за 2018 г. (ЦГЭ) разово)</w:t>
            </w:r>
            <w:r w:rsidR="00F5250E"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lang w:eastAsia="en-US"/>
              </w:rPr>
              <w:t xml:space="preserve">Обнаружены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незначительные превышения ПДК по нитратам в колодцах домов №1,8,21,25. </w:t>
            </w:r>
            <w:r w:rsidR="00F5250E">
              <w:rPr>
                <w:sz w:val="24"/>
                <w:szCs w:val="24"/>
                <w:lang w:eastAsia="en-US"/>
              </w:rPr>
              <w:t>Ответственность владельцев.</w:t>
            </w:r>
          </w:p>
        </w:tc>
      </w:tr>
      <w:tr w:rsidR="00F5250E" w:rsidTr="002205E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2205E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Pr="004526E4" w:rsidRDefault="00F5250E" w:rsidP="002205E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Содержание скота,</w:t>
            </w:r>
          </w:p>
          <w:p w:rsidR="00F5250E" w:rsidRPr="004526E4" w:rsidRDefault="00F5250E" w:rsidP="002205E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удобрений,</w:t>
            </w:r>
          </w:p>
          <w:p w:rsidR="00F5250E" w:rsidRPr="004526E4" w:rsidRDefault="00F5250E" w:rsidP="002205E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F5250E" w:rsidRDefault="00F5250E" w:rsidP="002205ED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</w:p>
        </w:tc>
      </w:tr>
      <w:tr w:rsidR="00F5250E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F5250E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F5250E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F5250E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F5250E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DA3F98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имеются за 2018 г. (ЦГЭ разово). Обнаружены незначительные превышения ПДК по нитратам в колодцах домов №1,8,21,25. Ответственность владельцев.</w:t>
            </w:r>
          </w:p>
        </w:tc>
      </w:tr>
      <w:tr w:rsidR="00F5250E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bookmarkStart w:id="0" w:name="_GoBack"/>
            <w:bookmarkEnd w:id="0"/>
          </w:p>
        </w:tc>
      </w:tr>
      <w:tr w:rsidR="00F5250E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F5250E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F5250E" w:rsidRDefault="00F5250E" w:rsidP="00F5250E">
      <w:pPr>
        <w:tabs>
          <w:tab w:val="left" w:pos="2760"/>
        </w:tabs>
        <w:outlineLvl w:val="0"/>
        <w:rPr>
          <w:b/>
          <w:caps/>
          <w:sz w:val="28"/>
          <w:szCs w:val="28"/>
        </w:rPr>
      </w:pPr>
    </w:p>
    <w:p w:rsidR="00F5250E" w:rsidRDefault="00F5250E" w:rsidP="00F5250E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F5250E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F5250E" w:rsidTr="002205E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F5250E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F5250E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F5250E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F5250E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F5250E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F5250E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F5250E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F5250E" w:rsidRDefault="00F5250E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F5250E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F5250E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F5250E" w:rsidRDefault="00F5250E" w:rsidP="00F5250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F5250E" w:rsidRDefault="00F5250E" w:rsidP="00F5250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F5250E" w:rsidRDefault="00F5250E" w:rsidP="00F5250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 w:rsidRPr="00F5250E">
        <w:rPr>
          <w:b/>
          <w:sz w:val="30"/>
          <w:szCs w:val="30"/>
          <w:u w:val="single"/>
        </w:rPr>
        <w:t>Парфёновичи</w:t>
      </w:r>
    </w:p>
    <w:p w:rsidR="00F5250E" w:rsidRDefault="00F5250E" w:rsidP="00F5250E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F5250E" w:rsidRDefault="00F5250E" w:rsidP="00F5250E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F5250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F5250E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F5250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F5250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8E467F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постоянного </w:t>
            </w:r>
            <w:proofErr w:type="spellStart"/>
            <w:r>
              <w:rPr>
                <w:sz w:val="24"/>
                <w:szCs w:val="24"/>
                <w:lang w:eastAsia="en-US"/>
              </w:rPr>
              <w:t>кантроля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качества</w:t>
            </w:r>
            <w:r w:rsidR="00F5250E">
              <w:rPr>
                <w:sz w:val="24"/>
                <w:szCs w:val="24"/>
                <w:lang w:eastAsia="en-US"/>
              </w:rPr>
              <w:t xml:space="preserve">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F5250E" w:rsidRDefault="00F5250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F5250E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F5250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F5250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F5250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0E" w:rsidRDefault="00F5250E" w:rsidP="00F5250E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0E" w:rsidRDefault="00F5250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861343" w:rsidRDefault="00861343" w:rsidP="00F5250E">
      <w:pPr>
        <w:jc w:val="center"/>
        <w:rPr>
          <w:b/>
          <w:sz w:val="24"/>
          <w:szCs w:val="24"/>
        </w:rPr>
      </w:pPr>
    </w:p>
    <w:sectPr w:rsidR="00861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88"/>
    <w:rsid w:val="005C354B"/>
    <w:rsid w:val="006E4688"/>
    <w:rsid w:val="00861343"/>
    <w:rsid w:val="008E467F"/>
    <w:rsid w:val="00952837"/>
    <w:rsid w:val="00A6346D"/>
    <w:rsid w:val="00DA3F98"/>
    <w:rsid w:val="00E3538A"/>
    <w:rsid w:val="00F5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50B2D-6DE9-483A-B607-6DD2E0A9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83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837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952837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720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10</cp:revision>
  <dcterms:created xsi:type="dcterms:W3CDTF">2020-01-09T06:21:00Z</dcterms:created>
  <dcterms:modified xsi:type="dcterms:W3CDTF">2020-05-04T17:50:00Z</dcterms:modified>
</cp:coreProperties>
</file>